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D55A" w14:textId="2364FFFF" w:rsidR="00245C89" w:rsidRDefault="0000000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Florianópolis, </w:t>
      </w:r>
      <w:r w:rsidR="00D36175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janeiro de 2024.</w:t>
      </w:r>
    </w:p>
    <w:p w14:paraId="2EB7BA15" w14:textId="77777777" w:rsidR="00245C89" w:rsidRDefault="00245C89">
      <w:pPr>
        <w:spacing w:after="0" w:line="360" w:lineRule="auto"/>
        <w:jc w:val="both"/>
        <w:rPr>
          <w:sz w:val="24"/>
          <w:szCs w:val="24"/>
        </w:rPr>
      </w:pPr>
    </w:p>
    <w:p w14:paraId="596A900B" w14:textId="77777777" w:rsidR="00245C89" w:rsidRDefault="00000000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 xml:space="preserve">Prezada Perita Geral da Polícia Científica Sra. Andressa Boer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Fronza</w:t>
      </w:r>
      <w:proofErr w:type="spellEnd"/>
      <w:r>
        <w:rPr>
          <w:rFonts w:ascii="Arial" w:hAnsi="Arial" w:cs="Arial"/>
          <w:b/>
          <w:bCs/>
          <w:sz w:val="24"/>
          <w:szCs w:val="24"/>
        </w:rPr>
        <w:t>,</w:t>
      </w:r>
    </w:p>
    <w:p w14:paraId="6824DCB8" w14:textId="77777777" w:rsidR="00245C89" w:rsidRDefault="00245C89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934802B" w14:textId="4B9BC8A6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Cumprimentando-a respeitosamente, gostaria de solicitar a conversão em dinheiro das licenças prêmios relativas aos períodos aquisitivos </w:t>
      </w:r>
      <w:r w:rsidR="00FD50F4" w:rsidRPr="00FD50F4">
        <w:rPr>
          <w:rFonts w:ascii="Arial" w:hAnsi="Arial" w:cs="Arial"/>
          <w:sz w:val="24"/>
          <w:szCs w:val="24"/>
          <w:highlight w:val="yellow"/>
        </w:rPr>
        <w:t>XXXX</w:t>
      </w:r>
    </w:p>
    <w:p w14:paraId="1E25DF18" w14:textId="77777777" w:rsidR="00245C89" w:rsidRDefault="00245C8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DEC5DA8" w14:textId="77777777" w:rsidR="00245C89" w:rsidRDefault="000000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 FUNDAMENTOS</w:t>
      </w:r>
    </w:p>
    <w:p w14:paraId="75EC768C" w14:textId="77777777" w:rsidR="00F34A9B" w:rsidRDefault="00F34A9B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</w:p>
    <w:p w14:paraId="5FD1C9E0" w14:textId="77777777" w:rsidR="00245C89" w:rsidRDefault="00000000">
      <w:pPr>
        <w:spacing w:after="0"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Estatuto da Polícia Civil do Estado de Santa Catarina, Lei nº 6.843, de 28 de julho de 1986, traz que:</w:t>
      </w:r>
    </w:p>
    <w:p w14:paraId="0E3A7A08" w14:textId="77777777" w:rsidR="00245C89" w:rsidRDefault="00000000">
      <w:pPr>
        <w:spacing w:after="0" w:line="360" w:lineRule="auto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Subseção VII</w:t>
      </w:r>
    </w:p>
    <w:p w14:paraId="74684EB5" w14:textId="77777777" w:rsidR="00245C89" w:rsidRDefault="00000000">
      <w:pPr>
        <w:spacing w:after="0" w:line="360" w:lineRule="auto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 Licença Prêmio</w:t>
      </w:r>
    </w:p>
    <w:p w14:paraId="60A072BC" w14:textId="77777777" w:rsidR="00245C89" w:rsidRDefault="00000000">
      <w:pPr>
        <w:spacing w:after="0" w:line="360" w:lineRule="auto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Art. 135. Após quinquênio de serviço público estadual, o policial civil estável fará jus a uma licença com remuneração, como prêmio, pelo período de 03 (três) meses.</w:t>
      </w:r>
    </w:p>
    <w:p w14:paraId="065E6F3E" w14:textId="77777777" w:rsidR="00245C89" w:rsidRDefault="00000000">
      <w:pPr>
        <w:spacing w:after="0" w:line="360" w:lineRule="auto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Parágrafo único. É facultada ao policial civil a conversão em dinheiro de até 1/3 (um terço) da licença prêmio, assim como, gozá-la em parcelas mensais.</w:t>
      </w:r>
    </w:p>
    <w:p w14:paraId="6FDE41F0" w14:textId="77777777" w:rsidR="00245C89" w:rsidRDefault="000000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Tal dispositivo, sem dúvidas, se aplica à Polícia Científica. A Lei 15.156/2010, estabelece que:</w:t>
      </w:r>
    </w:p>
    <w:p w14:paraId="3C9478AB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CAPÍTULO X</w:t>
      </w:r>
    </w:p>
    <w:p w14:paraId="26E601ED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DAS DISPOSIÇÕES FINAIS E TRANSITÓRIAS</w:t>
      </w:r>
    </w:p>
    <w:p w14:paraId="60E4B7B7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Art. 81. Aplicar-se-ão, no que couber, aos servidores efetivos do Instituto Geral de Perícias - IGP, as disposições do Estatuto da Polícia Civil do Estado de Santa Catarina, Lei nº 6.843, de 28 de julho de 1986, de forma subsidiária ao disposto nesta Lei. (...)</w:t>
      </w:r>
    </w:p>
    <w:p w14:paraId="4168C06C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Art. 90. As demais vantagens pecuniárias, direitos, licenças, garantias, e prerrogativas não citadas nesta Lei, concedidas a qualquer título, percebidas regularmente pelos servidores ativos, inativos e pensionistas do Instituto Geral de Perícias - IGP permanecem inalteradas e </w:t>
      </w:r>
      <w:proofErr w:type="gramStart"/>
      <w:r>
        <w:rPr>
          <w:rFonts w:ascii="Arial" w:hAnsi="Arial"/>
          <w:sz w:val="20"/>
          <w:szCs w:val="20"/>
        </w:rPr>
        <w:t>mantêm os mesmos</w:t>
      </w:r>
      <w:proofErr w:type="gramEnd"/>
      <w:r>
        <w:rPr>
          <w:rFonts w:ascii="Arial" w:hAnsi="Arial"/>
          <w:sz w:val="20"/>
          <w:szCs w:val="20"/>
        </w:rPr>
        <w:t xml:space="preserve"> critérios de concessão previstos na legislação vigente.</w:t>
      </w:r>
    </w:p>
    <w:p w14:paraId="6AAABA03" w14:textId="77777777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E, conforme estabelece a Emenda Constitucional nº 84, de 28 de dezembro de 2021,</w:t>
      </w:r>
    </w:p>
    <w:p w14:paraId="32AEE992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Art. 56-A. Na legislação estadual em vigor, onde se lê “Instituto Geral de Perícia”, leia-se “Polícia Científica”, especialmente na Lei Complementar nº 374, de 30 de janeiro de 2007, na Lei Complementar nº 741, de 12 de junho de 2019, e na Lei nº 15.156, de 11 de maio de 2010. (NR) (Redação do Art. 56-A, acrescida pela EC/084, de 2021).</w:t>
      </w:r>
    </w:p>
    <w:p w14:paraId="7B434FC4" w14:textId="77777777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Portanto, é indiscutível que o dispositivo que trata da licença prêmio no Estatuto da Polícia Civil é a legislação vigente e se aplica integralmente à Polícia Científica. </w:t>
      </w:r>
    </w:p>
    <w:p w14:paraId="60580837" w14:textId="77777777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caso da negativa de pagamento a outras forças de segurança pública do Estado, é citada a vigência do Decreto nº 1463, de 16 de fevereiro de 2004. Por um lado, tal decreto não revoga o Estatuto da Polícia Civil - Lei nº 6.843, de 28 de julho de 1986, </w:t>
      </w:r>
      <w:proofErr w:type="gramStart"/>
      <w:r>
        <w:rPr>
          <w:rFonts w:ascii="Arial" w:hAnsi="Arial" w:cs="Arial"/>
          <w:sz w:val="24"/>
          <w:szCs w:val="24"/>
        </w:rPr>
        <w:t>e portanto</w:t>
      </w:r>
      <w:proofErr w:type="gramEnd"/>
      <w:r>
        <w:rPr>
          <w:rFonts w:ascii="Arial" w:hAnsi="Arial" w:cs="Arial"/>
          <w:sz w:val="24"/>
          <w:szCs w:val="24"/>
        </w:rPr>
        <w:t xml:space="preserve"> não traz relação com a Polícia Científica, tão somente se refere, em se tratando de Polícia Civil, a lei complementar nº 55, de 29 de maio de 1992. Ora, tal lei “institui plano de carreira do grupo: polícia civil” entre outras providências. Já a Lei nº 15.156/2010 “institui o plano de carreiras e vencimentos do grupo segurança pública – perícia oficial”. Temos, pois, que a primeira não se aplica a Polícia Científica, pois esta já possui uma lei estabelecendo seu plano de carreira, </w:t>
      </w:r>
      <w:proofErr w:type="gramStart"/>
      <w:r>
        <w:rPr>
          <w:rFonts w:ascii="Arial" w:hAnsi="Arial" w:cs="Arial"/>
          <w:sz w:val="24"/>
          <w:szCs w:val="24"/>
        </w:rPr>
        <w:t>e portanto</w:t>
      </w:r>
      <w:proofErr w:type="gramEnd"/>
      <w:r>
        <w:rPr>
          <w:rFonts w:ascii="Arial" w:hAnsi="Arial" w:cs="Arial"/>
          <w:sz w:val="24"/>
          <w:szCs w:val="24"/>
        </w:rPr>
        <w:t xml:space="preserve"> não há lacuna legislativa que justifique a aplicação da</w:t>
      </w:r>
      <w:r>
        <w:rPr>
          <w:rFonts w:ascii="Arial" w:hAnsi="Arial"/>
          <w:sz w:val="24"/>
          <w:szCs w:val="24"/>
        </w:rPr>
        <w:t xml:space="preserve"> Emenda Constitucional nº 84, de 28 de dezembro de 2021, que diz que</w:t>
      </w:r>
    </w:p>
    <w:p w14:paraId="3144A6D9" w14:textId="77777777" w:rsidR="00D36175" w:rsidRDefault="00D36175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</w:p>
    <w:p w14:paraId="2C40031E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Art. 56. Havendo lacunas na legislação específica da Polícia Científica, será aplicada a legislação pertinente à Polícia Civil. (NR) (Redação dada pela EC/084, de 2021).</w:t>
      </w:r>
    </w:p>
    <w:p w14:paraId="6A893C81" w14:textId="77777777" w:rsidR="00D36175" w:rsidRDefault="00D36175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</w:p>
    <w:p w14:paraId="2EC46746" w14:textId="77777777" w:rsidR="00245C89" w:rsidRDefault="000000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outro lado, mesmo que se considere a Lei Complementar nº 55/1992 e a suspensão imposta pelo Decreto nº 1463/2004 como válidos para a Polícia Científica, temos a clara ilegalidade do ato, por se tratar de decreto contrariando a lei, tese recentemente estipulada por acórdão do eminente Desembargador Relator Diogo Nicolau </w:t>
      </w:r>
      <w:proofErr w:type="spellStart"/>
      <w:r>
        <w:rPr>
          <w:rFonts w:ascii="Arial" w:hAnsi="Arial" w:cs="Arial"/>
          <w:sz w:val="24"/>
          <w:szCs w:val="24"/>
        </w:rPr>
        <w:t>Pítsica</w:t>
      </w:r>
      <w:proofErr w:type="spellEnd"/>
      <w:r>
        <w:rPr>
          <w:rFonts w:ascii="Arial" w:hAnsi="Arial" w:cs="Arial"/>
          <w:sz w:val="24"/>
          <w:szCs w:val="24"/>
        </w:rPr>
        <w:t>, do Tribunal de Justiça de Santa Catarina, na apelação nº 030476363.2017.8.24.0023/SC, assim ementado:</w:t>
      </w:r>
    </w:p>
    <w:p w14:paraId="281D54B9" w14:textId="77777777" w:rsidR="00D36175" w:rsidRDefault="00D3617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BAA5F2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APELAÇÃO CÍVEL. AÇÃO COLETIVA. ESTATUTO DOS POLICIAIS-MILITARES DO ESTADO DE SANTA CATARINA (LEI ESTADUAL N. 6.218/1983). IMPROCEDÊNCIA NA ORIGEM.</w:t>
      </w:r>
    </w:p>
    <w:p w14:paraId="767D139F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RECURSO DO REQUERENTE. DECRETO ESTADUAL N. 1.463/2004 QUE SUSPENDE, POR PRAZO INDETERMINADO, O DIREITO À CONVERSÃO EM PECÚNIA DAS LICENÇAS ESPECIAIS. INVIABILIDADE DE SUPRESSÃO MEDIANTE DECRETO DE DIREITO CONCEDIDO POR LEI. SUBSISTÊNCIA.  PRINCÍPIO DA HIERARQUIA DAS LEIS. RECURSO CONHECIDO E PROVIDO.</w:t>
      </w:r>
    </w:p>
    <w:p w14:paraId="3766AB61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1. O decreto é ato normativo hierarquicamente inferior à lei, com poder limitado a sua regulamentação, de modo que não pode contrariá-la ou inovar na ordem jurídica.</w:t>
      </w:r>
    </w:p>
    <w:p w14:paraId="78C98260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2. Configura evidente ilegalidade a suspensão, por meio de decreto, por tempo indeterminado de direitos subjetivos assegurados por lei.</w:t>
      </w:r>
    </w:p>
    <w:p w14:paraId="659B8A6B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3. A suspensão da benesse da de licença-prêmio perdura há 16 anos, o que reforça a ilegalidade da medida questionada.</w:t>
      </w:r>
    </w:p>
    <w:p w14:paraId="1B1A1A4B" w14:textId="77777777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E, no caso da aceitação da Lei Complementar nº 55/1992 como válida para a Polícia Científica, teremos que</w:t>
      </w:r>
    </w:p>
    <w:p w14:paraId="536F668B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Art. 15. Ao Policial Civil, ocupante do cargo de provimento efetivo ou em comissão, na Pasta da Segurança Pública, são concedidos os seguintes estímulos de produtividade policial:</w:t>
      </w:r>
    </w:p>
    <w:p w14:paraId="73BDBE48" w14:textId="77777777" w:rsidR="00245C89" w:rsidRDefault="00000000">
      <w:pPr>
        <w:spacing w:after="0" w:line="360" w:lineRule="auto"/>
        <w:ind w:left="113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 - </w:t>
      </w:r>
      <w:proofErr w:type="gramStart"/>
      <w:r>
        <w:rPr>
          <w:rFonts w:ascii="Arial" w:hAnsi="Arial"/>
          <w:sz w:val="20"/>
          <w:szCs w:val="20"/>
        </w:rPr>
        <w:t>aos</w:t>
      </w:r>
      <w:proofErr w:type="gramEnd"/>
      <w:r>
        <w:rPr>
          <w:rFonts w:ascii="Arial" w:hAnsi="Arial"/>
          <w:sz w:val="20"/>
          <w:szCs w:val="20"/>
        </w:rPr>
        <w:t xml:space="preserve"> policiais civis, que optarem pela permanência no trabalho, durante o período de gozo de licença prêmio, será concedido a indenização mensal correspondente a 100% (cem por cento) do respectivo vencimento básico, até o limite de 1 (um) período por ano, através de escala organizada;</w:t>
      </w:r>
    </w:p>
    <w:p w14:paraId="5139BD8D" w14:textId="77777777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Conclui-se, pois, que existem apenas duas linhas de raciocínio na questão da conversão em dinheiro da licença prêmio para servidores da Polícia Científica no momento. Caso a LC nº 55/1992 seja válida, o Decreto nº 1463/2004 não tem poder de suspender sua força, e é legítimo que o servidor peça a permanência no trabalho durante seu gozo e receba 100% do respectivo vencimento básico, até o limite de um período por ano. Caso, entretanto, se entenda que a LC nº 55/1992 não se aplica a Polícia Científica, então a conversão em dinheiro de 1/3 da licença prêmio prevista no Estatuto da Polícia Civil é válida e perfeitamente legal. </w:t>
      </w:r>
    </w:p>
    <w:p w14:paraId="37E5077B" w14:textId="685CB94C" w:rsidR="00F34A9B" w:rsidRDefault="00F34A9B">
      <w:pPr>
        <w:suppressAutoHyphens w:val="0"/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page"/>
      </w:r>
    </w:p>
    <w:p w14:paraId="2F29AB8E" w14:textId="77777777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DOS PEDIDOS</w:t>
      </w:r>
    </w:p>
    <w:p w14:paraId="025A6641" w14:textId="77777777" w:rsidR="00F34A9B" w:rsidRDefault="00F34A9B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</w:p>
    <w:p w14:paraId="6CA73E8D" w14:textId="77777777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1. Solicito a permanência no trabalho durante o gozo das licenças prêmios com recebimento da conversão de 100% do meu vencimento básico, uma vez por ano a começar em 2024, conforme art. 15, I, da LC nº 55/1992, caso o entendimento da Sra. Perita Geral seja no sentido de considerar que há lacuna na legislação específica da Polícia Científica nesta matéria e de nos incluir nesta lei;</w:t>
      </w:r>
    </w:p>
    <w:p w14:paraId="67178A80" w14:textId="77777777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2. Solicito a conversão em dinheiro de 1/3 (um terço) dos dois períodos de licenças prêmios que já adquiri até o momento, caso seja entendimento da Sra. Perita Geral que se aplica tão somente o Estatuto da Polícia Civil na matéria discutida.</w:t>
      </w:r>
    </w:p>
    <w:p w14:paraId="67BA1632" w14:textId="77777777" w:rsidR="00F34A9B" w:rsidRDefault="00F34A9B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</w:p>
    <w:p w14:paraId="0D294445" w14:textId="77777777" w:rsidR="00245C89" w:rsidRDefault="00000000">
      <w:pPr>
        <w:spacing w:after="0" w:line="360" w:lineRule="auto"/>
        <w:ind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Respeitosamente,</w:t>
      </w:r>
    </w:p>
    <w:p w14:paraId="032CB089" w14:textId="77777777" w:rsidR="00245C89" w:rsidRDefault="00245C8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47D245A" w14:textId="77777777" w:rsidR="00245C89" w:rsidRDefault="00245C8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FE86D76" w14:textId="77777777" w:rsidR="00245C89" w:rsidRDefault="00245C8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2BC0D68" w14:textId="5D4A3571" w:rsidR="00245C89" w:rsidRPr="00FD50F4" w:rsidRDefault="00FD50F4" w:rsidP="00FD50F4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D50F4">
        <w:rPr>
          <w:rFonts w:ascii="Arial" w:hAnsi="Arial" w:cs="Arial"/>
          <w:b/>
          <w:bCs/>
          <w:sz w:val="24"/>
          <w:szCs w:val="24"/>
          <w:highlight w:val="yellow"/>
        </w:rPr>
        <w:t>xxxxxxxx</w:t>
      </w:r>
      <w:proofErr w:type="spellEnd"/>
    </w:p>
    <w:p w14:paraId="52EE8C9E" w14:textId="581B77E8" w:rsidR="00245C89" w:rsidRDefault="00000000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Agente de </w:t>
      </w:r>
      <w:r w:rsidR="00F34A9B">
        <w:rPr>
          <w:rFonts w:ascii="Arial" w:hAnsi="Arial" w:cs="Arial"/>
          <w:sz w:val="24"/>
          <w:szCs w:val="24"/>
          <w:shd w:val="clear" w:color="auto" w:fill="FFFFFF"/>
        </w:rPr>
        <w:t>Perícia Criminal</w:t>
      </w:r>
    </w:p>
    <w:p w14:paraId="4E95B9E2" w14:textId="528FF436" w:rsidR="00F34A9B" w:rsidRDefault="00F34A9B">
      <w:pPr>
        <w:spacing w:after="0" w:line="360" w:lineRule="auto"/>
        <w:ind w:firstLine="708"/>
        <w:jc w:val="center"/>
      </w:pPr>
      <w:proofErr w:type="gramStart"/>
      <w:r>
        <w:rPr>
          <w:rFonts w:ascii="Arial" w:hAnsi="Arial" w:cs="Arial"/>
          <w:sz w:val="24"/>
          <w:szCs w:val="24"/>
          <w:shd w:val="clear" w:color="auto" w:fill="FFFFFF"/>
        </w:rPr>
        <w:t>Matricula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FD50F4" w:rsidRPr="00FD50F4">
        <w:rPr>
          <w:rFonts w:ascii="Arial" w:hAnsi="Arial" w:cs="Arial"/>
          <w:b/>
          <w:bCs/>
          <w:sz w:val="24"/>
          <w:szCs w:val="24"/>
          <w:highlight w:val="yellow"/>
          <w:shd w:val="clear" w:color="auto" w:fill="FFFFFF"/>
        </w:rPr>
        <w:t>xxxxxx</w:t>
      </w:r>
      <w:proofErr w:type="spellEnd"/>
    </w:p>
    <w:sectPr w:rsidR="00F34A9B">
      <w:headerReference w:type="default" r:id="rId6"/>
      <w:footerReference w:type="default" r:id="rId7"/>
      <w:pgSz w:w="11906" w:h="16838"/>
      <w:pgMar w:top="1843" w:right="1558" w:bottom="1417" w:left="1701" w:header="284" w:footer="268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0ABF9" w14:textId="77777777" w:rsidR="007366C5" w:rsidRDefault="007366C5">
      <w:pPr>
        <w:spacing w:after="0" w:line="240" w:lineRule="auto"/>
      </w:pPr>
      <w:r>
        <w:separator/>
      </w:r>
    </w:p>
  </w:endnote>
  <w:endnote w:type="continuationSeparator" w:id="0">
    <w:p w14:paraId="06F80C74" w14:textId="77777777" w:rsidR="007366C5" w:rsidRDefault="0073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94" w:type="dxa"/>
      <w:tblLayout w:type="fixed"/>
      <w:tblLook w:val="04A0" w:firstRow="1" w:lastRow="0" w:firstColumn="1" w:lastColumn="0" w:noHBand="0" w:noVBand="1"/>
    </w:tblPr>
    <w:tblGrid>
      <w:gridCol w:w="4247"/>
      <w:gridCol w:w="4247"/>
    </w:tblGrid>
    <w:tr w:rsidR="00245C89" w14:paraId="6D95C52D" w14:textId="77777777">
      <w:tc>
        <w:tcPr>
          <w:tcW w:w="4247" w:type="dxa"/>
        </w:tcPr>
        <w:p w14:paraId="10D1B8EB" w14:textId="77777777" w:rsidR="00245C89" w:rsidRDefault="00245C89">
          <w:pPr>
            <w:widowControl w:val="0"/>
            <w:tabs>
              <w:tab w:val="left" w:pos="3142"/>
              <w:tab w:val="right" w:pos="8504"/>
            </w:tabs>
            <w:spacing w:after="0" w:line="276" w:lineRule="auto"/>
            <w:rPr>
              <w:rFonts w:ascii="Arial" w:hAnsi="Arial" w:cs="Arial"/>
              <w:sz w:val="18"/>
              <w:szCs w:val="18"/>
              <w:shd w:val="clear" w:color="auto" w:fill="FFFFFF"/>
            </w:rPr>
          </w:pPr>
        </w:p>
      </w:tc>
      <w:tc>
        <w:tcPr>
          <w:tcW w:w="4247" w:type="dxa"/>
        </w:tcPr>
        <w:p w14:paraId="58AFDBF2" w14:textId="77777777" w:rsidR="00245C89" w:rsidRDefault="00245C89">
          <w:pPr>
            <w:widowControl w:val="0"/>
            <w:tabs>
              <w:tab w:val="left" w:pos="3142"/>
              <w:tab w:val="right" w:pos="8504"/>
            </w:tabs>
            <w:spacing w:after="0" w:line="276" w:lineRule="auto"/>
            <w:rPr>
              <w:rFonts w:ascii="Arial" w:hAnsi="Arial" w:cs="Arial"/>
              <w:sz w:val="18"/>
              <w:szCs w:val="18"/>
              <w:shd w:val="clear" w:color="auto" w:fill="FFFFFF"/>
            </w:rPr>
          </w:pPr>
          <w:bookmarkStart w:id="0" w:name="_Hlk104365475"/>
          <w:bookmarkEnd w:id="0"/>
        </w:p>
      </w:tc>
    </w:tr>
  </w:tbl>
  <w:p w14:paraId="25BA4FA0" w14:textId="77777777" w:rsidR="00245C89" w:rsidRDefault="00245C89">
    <w:pPr>
      <w:tabs>
        <w:tab w:val="left" w:pos="3142"/>
        <w:tab w:val="right" w:pos="8504"/>
      </w:tabs>
      <w:spacing w:after="0"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21B5B" w14:textId="77777777" w:rsidR="007366C5" w:rsidRDefault="007366C5">
      <w:pPr>
        <w:spacing w:after="0" w:line="240" w:lineRule="auto"/>
      </w:pPr>
      <w:r>
        <w:separator/>
      </w:r>
    </w:p>
  </w:footnote>
  <w:footnote w:type="continuationSeparator" w:id="0">
    <w:p w14:paraId="61B49AE7" w14:textId="77777777" w:rsidR="007366C5" w:rsidRDefault="00736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BEEF3" w14:textId="77777777" w:rsidR="00245C89" w:rsidRDefault="00000000">
    <w:pPr>
      <w:pStyle w:val="Cabealho"/>
      <w:ind w:left="1418"/>
      <w:rPr>
        <w:rFonts w:ascii="Arial" w:hAnsi="Arial" w:cs="Arial"/>
        <w:sz w:val="24"/>
        <w:szCs w:val="24"/>
        <w:shd w:val="clear" w:color="auto" w:fill="FFFFFF"/>
      </w:rPr>
    </w:pPr>
    <w:r>
      <w:rPr>
        <w:noProof/>
      </w:rPr>
      <w:drawing>
        <wp:anchor distT="0" distB="0" distL="0" distR="0" simplePos="0" relativeHeight="5" behindDoc="1" locked="0" layoutInCell="0" allowOverlap="1" wp14:anchorId="517A41B5" wp14:editId="5A3792EC">
          <wp:simplePos x="0" y="0"/>
          <wp:positionH relativeFrom="column">
            <wp:posOffset>-120015</wp:posOffset>
          </wp:positionH>
          <wp:positionV relativeFrom="paragraph">
            <wp:posOffset>165100</wp:posOffset>
          </wp:positionV>
          <wp:extent cx="922655" cy="1153795"/>
          <wp:effectExtent l="0" t="0" r="0" b="0"/>
          <wp:wrapNone/>
          <wp:docPr id="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1153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W w:w="7545" w:type="dxa"/>
      <w:tblInd w:w="1129" w:type="dxa"/>
      <w:tblLayout w:type="fixed"/>
      <w:tblLook w:val="04A0" w:firstRow="1" w:lastRow="0" w:firstColumn="1" w:lastColumn="0" w:noHBand="0" w:noVBand="1"/>
    </w:tblPr>
    <w:tblGrid>
      <w:gridCol w:w="7309"/>
      <w:gridCol w:w="236"/>
    </w:tblGrid>
    <w:tr w:rsidR="00245C89" w14:paraId="616A69A4" w14:textId="77777777">
      <w:tc>
        <w:tcPr>
          <w:tcW w:w="7309" w:type="dxa"/>
        </w:tcPr>
        <w:p w14:paraId="28DA9541" w14:textId="77777777" w:rsidR="00245C89" w:rsidRDefault="00000000">
          <w:pPr>
            <w:pStyle w:val="Cabealho"/>
            <w:widowControl w:val="0"/>
            <w:tabs>
              <w:tab w:val="left" w:pos="1389"/>
              <w:tab w:val="center" w:pos="4365"/>
              <w:tab w:val="right" w:pos="8617"/>
            </w:tabs>
            <w:ind w:left="113" w:right="170"/>
          </w:pPr>
          <w:proofErr w:type="spellStart"/>
          <w:r>
            <w:rPr>
              <w:rStyle w:val="Forte"/>
              <w:rFonts w:ascii="Arial" w:hAnsi="Arial" w:cs="Arial"/>
              <w:sz w:val="36"/>
              <w:szCs w:val="36"/>
              <w:shd w:val="clear" w:color="auto" w:fill="FFFFFF"/>
            </w:rPr>
            <w:t>SinPCi</w:t>
          </w:r>
          <w:proofErr w:type="spellEnd"/>
          <w:r>
            <w:rPr>
              <w:rStyle w:val="Forte"/>
              <w:rFonts w:ascii="Arial" w:hAnsi="Arial" w:cs="Arial"/>
              <w:sz w:val="36"/>
              <w:szCs w:val="36"/>
              <w:shd w:val="clear" w:color="auto" w:fill="FFFFFF"/>
            </w:rPr>
            <w:t>-SC</w:t>
          </w:r>
          <w:r>
            <w:rPr>
              <w:rStyle w:val="Forte"/>
              <w:rFonts w:ascii="Arial" w:hAnsi="Arial" w:cs="Arial"/>
              <w:b w:val="0"/>
              <w:bCs w:val="0"/>
              <w:sz w:val="20"/>
              <w:szCs w:val="20"/>
              <w:shd w:val="clear" w:color="auto" w:fill="FFFFFF"/>
            </w:rPr>
            <w:t xml:space="preserve">               </w:t>
          </w:r>
        </w:p>
        <w:p w14:paraId="649CA232" w14:textId="77777777" w:rsidR="00245C89" w:rsidRDefault="00000000">
          <w:pPr>
            <w:pStyle w:val="Cabealho"/>
            <w:widowControl w:val="0"/>
            <w:ind w:left="113" w:right="170"/>
          </w:pPr>
          <w:r>
            <w:rPr>
              <w:rStyle w:val="Forte"/>
              <w:rFonts w:ascii="Arial" w:hAnsi="Arial" w:cs="Arial"/>
              <w:b w:val="0"/>
              <w:bCs w:val="0"/>
              <w:sz w:val="20"/>
              <w:szCs w:val="20"/>
              <w:shd w:val="clear" w:color="auto" w:fill="FFFFFF"/>
            </w:rPr>
            <w:t>SINDICATO DOS AUXILIARES PERICIAIS DA</w:t>
          </w:r>
        </w:p>
        <w:p w14:paraId="68075238" w14:textId="77777777" w:rsidR="00245C89" w:rsidRDefault="00000000">
          <w:pPr>
            <w:pStyle w:val="Rodap"/>
            <w:widowControl w:val="0"/>
            <w:pBdr>
              <w:bottom w:val="single" w:sz="12" w:space="1" w:color="000000"/>
            </w:pBdr>
            <w:spacing w:line="276" w:lineRule="auto"/>
            <w:ind w:left="113" w:right="170"/>
          </w:pPr>
          <w:r>
            <w:rPr>
              <w:rStyle w:val="Forte"/>
              <w:rFonts w:ascii="Arial" w:hAnsi="Arial" w:cs="Arial"/>
              <w:b w:val="0"/>
              <w:bCs w:val="0"/>
              <w:sz w:val="20"/>
              <w:szCs w:val="20"/>
              <w:shd w:val="clear" w:color="auto" w:fill="FFFFFF"/>
            </w:rPr>
            <w:t>POLÍCIA CIENTÍFICA DO ESTADO DE SANTA CATARINA</w:t>
          </w:r>
        </w:p>
      </w:tc>
      <w:tc>
        <w:tcPr>
          <w:tcW w:w="236" w:type="dxa"/>
          <w:vAlign w:val="center"/>
        </w:tcPr>
        <w:p w14:paraId="7BEA2A6C" w14:textId="77777777" w:rsidR="00245C89" w:rsidRDefault="00245C89">
          <w:pPr>
            <w:widowControl w:val="0"/>
            <w:spacing w:after="0" w:line="276" w:lineRule="auto"/>
            <w:jc w:val="right"/>
            <w:rPr>
              <w:rFonts w:ascii="Arial" w:hAnsi="Arial" w:cs="Arial"/>
              <w:sz w:val="20"/>
              <w:szCs w:val="20"/>
              <w:shd w:val="clear" w:color="auto" w:fill="FFFFFF"/>
            </w:rPr>
          </w:pPr>
        </w:p>
      </w:tc>
    </w:tr>
  </w:tbl>
  <w:p w14:paraId="4A63B4E2" w14:textId="77777777" w:rsidR="00245C89" w:rsidRDefault="00000000">
    <w:pPr>
      <w:pStyle w:val="Rodap"/>
      <w:spacing w:line="276" w:lineRule="auto"/>
      <w:jc w:val="center"/>
      <w:rPr>
        <w:rFonts w:ascii="Arial" w:hAnsi="Arial" w:cs="Arial"/>
        <w:sz w:val="18"/>
        <w:szCs w:val="18"/>
        <w:shd w:val="clear" w:color="auto" w:fill="FFFFFF"/>
      </w:rPr>
    </w:pPr>
    <w:r>
      <w:rPr>
        <w:rFonts w:ascii="Arial" w:hAnsi="Arial" w:cs="Arial"/>
        <w:sz w:val="18"/>
        <w:szCs w:val="18"/>
        <w:shd w:val="clear" w:color="auto" w:fill="FFFFFF"/>
      </w:rPr>
      <w:t xml:space="preserve">Rua Souza Dutra, n 145, sala 1003 </w:t>
    </w:r>
    <w:proofErr w:type="spellStart"/>
    <w:r>
      <w:rPr>
        <w:rFonts w:ascii="Arial" w:hAnsi="Arial" w:cs="Arial"/>
        <w:sz w:val="18"/>
        <w:szCs w:val="18"/>
        <w:shd w:val="clear" w:color="auto" w:fill="FFFFFF"/>
      </w:rPr>
      <w:t>sb</w:t>
    </w:r>
    <w:proofErr w:type="spellEnd"/>
    <w:r>
      <w:rPr>
        <w:rFonts w:ascii="Arial" w:hAnsi="Arial" w:cs="Arial"/>
        <w:sz w:val="18"/>
        <w:szCs w:val="18"/>
        <w:shd w:val="clear" w:color="auto" w:fill="FFFFFF"/>
      </w:rPr>
      <w:t>/</w:t>
    </w:r>
    <w:proofErr w:type="spellStart"/>
    <w:r>
      <w:rPr>
        <w:rFonts w:ascii="Arial" w:hAnsi="Arial" w:cs="Arial"/>
        <w:sz w:val="18"/>
        <w:szCs w:val="18"/>
        <w:shd w:val="clear" w:color="auto" w:fill="FFFFFF"/>
      </w:rPr>
      <w:t>sl</w:t>
    </w:r>
    <w:proofErr w:type="spellEnd"/>
    <w:r>
      <w:rPr>
        <w:rFonts w:ascii="Arial" w:hAnsi="Arial" w:cs="Arial"/>
        <w:sz w:val="18"/>
        <w:szCs w:val="18"/>
        <w:shd w:val="clear" w:color="auto" w:fill="FFFFFF"/>
      </w:rPr>
      <w:t xml:space="preserve"> 01 – Estreito, Florianópolis/SC</w:t>
    </w:r>
  </w:p>
  <w:p w14:paraId="6E1F290D" w14:textId="77777777" w:rsidR="00245C89" w:rsidRDefault="00000000">
    <w:pPr>
      <w:pStyle w:val="Rodap"/>
      <w:spacing w:line="276" w:lineRule="auto"/>
      <w:jc w:val="center"/>
    </w:pPr>
    <w:r>
      <w:rPr>
        <w:rFonts w:ascii="Arial" w:hAnsi="Arial" w:cs="Arial"/>
        <w:sz w:val="18"/>
        <w:szCs w:val="18"/>
        <w:shd w:val="clear" w:color="auto" w:fill="FFFFFF"/>
      </w:rPr>
      <w:t>E-mail: presidente.sinpci@gmail.com          Telefone (48)99653-7011</w:t>
    </w:r>
  </w:p>
  <w:p w14:paraId="3C76C797" w14:textId="77777777" w:rsidR="00245C89" w:rsidRDefault="00000000">
    <w:pPr>
      <w:tabs>
        <w:tab w:val="left" w:pos="3142"/>
        <w:tab w:val="right" w:pos="8504"/>
      </w:tabs>
      <w:spacing w:after="0" w:line="276" w:lineRule="auto"/>
      <w:jc w:val="center"/>
      <w:rPr>
        <w:rStyle w:val="Forte"/>
        <w:rFonts w:ascii="Arial" w:hAnsi="Arial" w:cs="Arial"/>
        <w:b w:val="0"/>
        <w:bCs w:val="0"/>
        <w:sz w:val="18"/>
        <w:szCs w:val="18"/>
        <w:shd w:val="clear" w:color="auto" w:fill="FFFFFF"/>
      </w:rPr>
    </w:pPr>
    <w:r>
      <w:rPr>
        <w:rStyle w:val="Forte"/>
        <w:rFonts w:ascii="Arial" w:hAnsi="Arial" w:cs="Arial"/>
        <w:b w:val="0"/>
        <w:bCs w:val="0"/>
        <w:sz w:val="18"/>
        <w:szCs w:val="18"/>
        <w:shd w:val="clear" w:color="auto" w:fill="FFFFFF"/>
      </w:rPr>
      <w:t>Fundado em 13/05/2022          CNPJ 47.564.500/0001-10</w:t>
    </w:r>
  </w:p>
  <w:p w14:paraId="50AF149D" w14:textId="77777777" w:rsidR="00F34A9B" w:rsidRDefault="00F34A9B">
    <w:pPr>
      <w:tabs>
        <w:tab w:val="left" w:pos="3142"/>
        <w:tab w:val="right" w:pos="8504"/>
      </w:tabs>
      <w:spacing w:after="0" w:line="276" w:lineRule="auto"/>
      <w:jc w:val="center"/>
    </w:pPr>
  </w:p>
  <w:p w14:paraId="33D3CD0A" w14:textId="77777777" w:rsidR="00245C89" w:rsidRDefault="00245C89">
    <w:pPr>
      <w:tabs>
        <w:tab w:val="left" w:pos="3142"/>
        <w:tab w:val="right" w:pos="8504"/>
      </w:tabs>
      <w:spacing w:after="0" w:line="276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C89"/>
    <w:rsid w:val="00245C89"/>
    <w:rsid w:val="007366C5"/>
    <w:rsid w:val="00D36175"/>
    <w:rsid w:val="00E51460"/>
    <w:rsid w:val="00F34A9B"/>
    <w:rsid w:val="00FD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5BD93"/>
  <w15:docId w15:val="{6EAB350D-408E-48AD-B2F8-7B443013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4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Forte">
    <w:name w:val="Strong"/>
    <w:basedOn w:val="Fontepargpadro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customStyle="1" w:styleId="LO-Normal">
    <w:name w:val="LO-Normal"/>
    <w:qFormat/>
    <w:pPr>
      <w:widowControl w:val="0"/>
      <w:suppressAutoHyphens/>
    </w:p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4</Pages>
  <Words>994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IGP</dc:creator>
  <dc:description/>
  <cp:lastModifiedBy>Fernando Damasco</cp:lastModifiedBy>
  <cp:revision>29</cp:revision>
  <cp:lastPrinted>2022-08-29T19:42:00Z</cp:lastPrinted>
  <dcterms:created xsi:type="dcterms:W3CDTF">2022-09-25T00:13:00Z</dcterms:created>
  <dcterms:modified xsi:type="dcterms:W3CDTF">2024-01-25T21:33:00Z</dcterms:modified>
  <dc:language>pt-BR</dc:language>
</cp:coreProperties>
</file>